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4"/>
        <w:gridCol w:w="2827"/>
        <w:gridCol w:w="2843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6D7BFF" w:rsidP="000D0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686282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de 2016</w:t>
            </w:r>
          </w:p>
        </w:tc>
        <w:tc>
          <w:tcPr>
            <w:tcW w:w="2882" w:type="dxa"/>
          </w:tcPr>
          <w:p w:rsidR="00FD414F" w:rsidRPr="00E9225B" w:rsidRDefault="006D7BFF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 inicial</w:t>
            </w:r>
            <w:r w:rsidR="00FD414F"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FD414F" w:rsidRPr="00E9225B" w:rsidRDefault="003A68D7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31/5/2022</w:t>
            </w:r>
          </w:p>
        </w:tc>
        <w:tc>
          <w:tcPr>
            <w:tcW w:w="2882" w:type="dxa"/>
          </w:tcPr>
          <w:p w:rsidR="00FD414F" w:rsidRPr="00E9225B" w:rsidRDefault="007F3815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Adaptación a </w:t>
            </w:r>
            <w:bookmarkStart w:id="0" w:name="_GoBack"/>
            <w:bookmarkEnd w:id="0"/>
            <w:r w:rsidR="000A5B58">
              <w:rPr>
                <w:rFonts w:ascii="Times New Roman" w:hAnsi="Times New Roman" w:cs="Times New Roman"/>
              </w:rPr>
              <w:t xml:space="preserve">especificidades </w:t>
            </w:r>
            <w:r>
              <w:rPr>
                <w:rFonts w:ascii="Times New Roman" w:hAnsi="Times New Roman" w:cs="Times New Roman"/>
              </w:rPr>
              <w:t>puesto.</w:t>
            </w:r>
          </w:p>
        </w:tc>
      </w:tr>
      <w:tr w:rsidR="003A68D7" w:rsidRPr="00E9225B" w:rsidTr="0074757C">
        <w:tc>
          <w:tcPr>
            <w:tcW w:w="2881" w:type="dxa"/>
          </w:tcPr>
          <w:p w:rsidR="003A68D7" w:rsidRPr="00E9225B" w:rsidRDefault="003A68D7" w:rsidP="0074757C">
            <w:pPr>
              <w:jc w:val="center"/>
            </w:pPr>
          </w:p>
        </w:tc>
        <w:tc>
          <w:tcPr>
            <w:tcW w:w="2881" w:type="dxa"/>
          </w:tcPr>
          <w:p w:rsidR="003A68D7" w:rsidRDefault="003A68D7" w:rsidP="0074757C">
            <w:pPr>
              <w:jc w:val="center"/>
            </w:pPr>
          </w:p>
        </w:tc>
        <w:tc>
          <w:tcPr>
            <w:tcW w:w="2882" w:type="dxa"/>
          </w:tcPr>
          <w:p w:rsidR="003A68D7" w:rsidRDefault="003A68D7" w:rsidP="0074757C">
            <w:pPr>
              <w:jc w:val="center"/>
            </w:pP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Pr="00027A95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514E53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</w:t>
      </w:r>
      <w:r w:rsidR="000A5B58">
        <w:rPr>
          <w:b/>
          <w:sz w:val="28"/>
          <w:szCs w:val="28"/>
        </w:rPr>
        <w:t>proyectos</w:t>
      </w:r>
      <w:r w:rsidR="00506E8E">
        <w:rPr>
          <w:b/>
          <w:sz w:val="28"/>
          <w:szCs w:val="28"/>
        </w:rPr>
        <w:t xml:space="preserve"> europeos y nuevas oportunidades</w:t>
      </w:r>
      <w:r w:rsidR="00DD68B4">
        <w:rPr>
          <w:b/>
          <w:sz w:val="28"/>
          <w:szCs w:val="28"/>
        </w:rPr>
        <w:t>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D16F31">
      <w:pPr>
        <w:pStyle w:val="NormalWeb"/>
        <w:jc w:val="both"/>
      </w:pPr>
      <w:proofErr w:type="spellStart"/>
      <w:r w:rsidRPr="00027A95">
        <w:rPr>
          <w:b/>
        </w:rPr>
        <w:t>Municipalistas</w:t>
      </w:r>
      <w:proofErr w:type="spellEnd"/>
      <w:r w:rsidRPr="00027A95">
        <w:rPr>
          <w:b/>
        </w:rPr>
        <w:t xml:space="preserve">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</w:t>
      </w:r>
      <w:r w:rsidR="00D16F31">
        <w:t>La misión de MUSOL es impulsar el desarrollo sostenible y promover los derechos humanos, fortaleciendo las capacidades de los titulares de derechos - sin dejar nadie atrás-, de los titulares de responsabilidades y de obligaciones, singularmente de los entes públicos territoriales y de la sociedad civil, en África, América Latina, en España y en el resto de Europa. Todo ello, en el marco de los procesos de gobernanza local vigentes en los territorios</w:t>
      </w:r>
      <w:r w:rsidRPr="00027A95">
        <w:t>.</w:t>
      </w:r>
      <w:r w:rsidR="00D16F31">
        <w:t xml:space="preserve"> Nuestra visión es ser una organización de referencia en el fortalecimiento de las capacidades de los titulares de derechos, de los titulares de responsabilidades y de obligaciones, singularmente de los entes públicos territoriales y de la sociedad civil, en África, América Latina, en España y en el resto de Europa, para promover los derechos humanos en un marco de desarrollo sostenible inclusivo.</w:t>
      </w: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520329" w:rsidRDefault="00520329" w:rsidP="00027A95">
      <w:pPr>
        <w:autoSpaceDE w:val="0"/>
        <w:autoSpaceDN w:val="0"/>
        <w:adjustRightInd w:val="0"/>
        <w:jc w:val="both"/>
      </w:pPr>
    </w:p>
    <w:p w:rsidR="009472B4" w:rsidRPr="00027A95" w:rsidRDefault="00520329" w:rsidP="00027A9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Formulación</w:t>
      </w:r>
      <w:r w:rsidR="00AA23F5">
        <w:rPr>
          <w:i/>
        </w:rPr>
        <w:t>, ejecución</w:t>
      </w:r>
      <w:r>
        <w:rPr>
          <w:i/>
        </w:rPr>
        <w:t xml:space="preserve"> y seguimiento de proyectos</w:t>
      </w:r>
      <w:r w:rsidR="00832663">
        <w:rPr>
          <w:i/>
        </w:rPr>
        <w:t xml:space="preserve"> </w:t>
      </w:r>
      <w:r w:rsidR="004C4460">
        <w:rPr>
          <w:i/>
        </w:rPr>
        <w:t xml:space="preserve">europeos </w:t>
      </w:r>
      <w:r w:rsidR="009617C6">
        <w:rPr>
          <w:i/>
        </w:rPr>
        <w:t>(</w:t>
      </w:r>
      <w:proofErr w:type="spellStart"/>
      <w:r w:rsidR="00686CF1">
        <w:rPr>
          <w:i/>
        </w:rPr>
        <w:t>Next</w:t>
      </w:r>
      <w:proofErr w:type="spellEnd"/>
      <w:r w:rsidR="00686CF1">
        <w:rPr>
          <w:i/>
        </w:rPr>
        <w:t xml:space="preserve"> </w:t>
      </w:r>
      <w:proofErr w:type="spellStart"/>
      <w:r w:rsidR="00686CF1">
        <w:rPr>
          <w:i/>
        </w:rPr>
        <w:t>Gene</w:t>
      </w:r>
      <w:r w:rsidR="003F1F38">
        <w:rPr>
          <w:i/>
        </w:rPr>
        <w:t>ration</w:t>
      </w:r>
      <w:proofErr w:type="spellEnd"/>
      <w:r w:rsidR="003F1F38">
        <w:rPr>
          <w:i/>
        </w:rPr>
        <w:t xml:space="preserve">, </w:t>
      </w:r>
      <w:proofErr w:type="spellStart"/>
      <w:r w:rsidR="003F1F38">
        <w:rPr>
          <w:i/>
        </w:rPr>
        <w:t>Interreg</w:t>
      </w:r>
      <w:proofErr w:type="spellEnd"/>
      <w:r w:rsidR="003F1F38">
        <w:rPr>
          <w:i/>
        </w:rPr>
        <w:t>, Erasmus+</w:t>
      </w:r>
      <w:r w:rsidR="00E919A8">
        <w:rPr>
          <w:i/>
        </w:rPr>
        <w:t>, etc.</w:t>
      </w:r>
      <w:r w:rsidR="009617C6">
        <w:rPr>
          <w:i/>
        </w:rPr>
        <w:t>)</w:t>
      </w:r>
      <w:r w:rsidR="00F15E34">
        <w:rPr>
          <w:i/>
        </w:rPr>
        <w:t>,</w:t>
      </w:r>
      <w:r w:rsidR="00D81CFC">
        <w:rPr>
          <w:i/>
        </w:rPr>
        <w:t xml:space="preserve"> explorando nuevas oportunidades de financiación y</w:t>
      </w:r>
      <w:r w:rsidR="009472B4" w:rsidRPr="00027A95">
        <w:rPr>
          <w:i/>
        </w:rPr>
        <w:t xml:space="preserve"> garantizando un</w:t>
      </w:r>
      <w:r w:rsidR="007949A6">
        <w:rPr>
          <w:i/>
        </w:rPr>
        <w:t>a adecuada coordinación,</w:t>
      </w:r>
      <w:r w:rsidR="009472B4" w:rsidRPr="00027A95">
        <w:rPr>
          <w:i/>
        </w:rPr>
        <w:t xml:space="preserve"> monitoreo técnico y control presupuestario e implementando las actividades previstas</w:t>
      </w:r>
      <w:r w:rsidR="00027A95">
        <w:rPr>
          <w:i/>
        </w:rPr>
        <w:t>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7C318C" w:rsidRPr="00027A95" w:rsidRDefault="007C318C" w:rsidP="007C318C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7C318C" w:rsidRDefault="007C318C" w:rsidP="007C318C">
      <w:pPr>
        <w:numPr>
          <w:ilvl w:val="0"/>
          <w:numId w:val="23"/>
        </w:numPr>
        <w:jc w:val="both"/>
      </w:pPr>
      <w:r>
        <w:t>Monitorear las oportunidades que surjan de convocatorias de la Unión Europea o de entidades españolas, de interés para la implementación de la estrategia MUSOL DESARROLLO EUROPA.</w:t>
      </w:r>
    </w:p>
    <w:p w:rsidR="007C318C" w:rsidRDefault="007C318C" w:rsidP="007C318C">
      <w:pPr>
        <w:numPr>
          <w:ilvl w:val="0"/>
          <w:numId w:val="23"/>
        </w:numPr>
        <w:jc w:val="both"/>
      </w:pPr>
      <w:r>
        <w:t xml:space="preserve">Identificar nuevas </w:t>
      </w:r>
      <w:r w:rsidRPr="00027A95">
        <w:t>propuestas de proyecto</w:t>
      </w:r>
      <w:r>
        <w:t xml:space="preserve"> acordes a las prioridades del plan estratégico vigente general y sectorial, singularmente a la estrategia MUSOL DESARROLLO EUROPA.</w:t>
      </w:r>
    </w:p>
    <w:p w:rsidR="007C318C" w:rsidRPr="00027A95" w:rsidRDefault="007C318C" w:rsidP="007C318C">
      <w:pPr>
        <w:numPr>
          <w:ilvl w:val="0"/>
          <w:numId w:val="23"/>
        </w:numPr>
        <w:jc w:val="both"/>
      </w:pPr>
      <w:r>
        <w:t xml:space="preserve">Formular </w:t>
      </w:r>
      <w:r w:rsidRPr="00027A95">
        <w:t>nuevas propuestas de proyecto de calidad y garantizar su entrega en lo</w:t>
      </w:r>
      <w:r>
        <w:t>s</w:t>
      </w:r>
      <w:r w:rsidRPr="00027A95">
        <w:t xml:space="preserve"> plazos previstos, garantizando que todas las propuestas respeten los requisitos (coherencia, criterios técnicos, documentación administrativa, etc.) </w:t>
      </w:r>
      <w:r>
        <w:t xml:space="preserve">de los </w:t>
      </w:r>
      <w:r>
        <w:lastRenderedPageBreak/>
        <w:t>financiadores y de MUSOL y coordinando la creación y preparación de los consorcios necesarios para presentar la propuesta.</w:t>
      </w:r>
    </w:p>
    <w:p w:rsidR="007C318C" w:rsidRDefault="007C318C" w:rsidP="007C318C">
      <w:pPr>
        <w:numPr>
          <w:ilvl w:val="0"/>
          <w:numId w:val="23"/>
        </w:numPr>
        <w:jc w:val="both"/>
      </w:pPr>
      <w:r w:rsidRPr="00027A95">
        <w:t xml:space="preserve">Identificar y contactar socios institucionales (públicos y privados) para la financiación y </w:t>
      </w:r>
      <w:proofErr w:type="spellStart"/>
      <w:r w:rsidRPr="00027A95">
        <w:t>c</w:t>
      </w:r>
      <w:r>
        <w:t>o</w:t>
      </w:r>
      <w:proofErr w:type="spellEnd"/>
      <w:r>
        <w:t xml:space="preserve">-financiación de los </w:t>
      </w:r>
      <w:proofErr w:type="gramStart"/>
      <w:r>
        <w:t>proyectos</w:t>
      </w:r>
      <w:proofErr w:type="gramEnd"/>
      <w:r>
        <w:t xml:space="preserve"> así como para el apoyo técnico e institucional a los mismos.</w:t>
      </w:r>
    </w:p>
    <w:p w:rsidR="007C318C" w:rsidRDefault="007C318C" w:rsidP="007C318C">
      <w:pPr>
        <w:numPr>
          <w:ilvl w:val="0"/>
          <w:numId w:val="23"/>
        </w:numPr>
        <w:jc w:val="both"/>
      </w:pPr>
      <w:r>
        <w:t>Promover sinergias entre MUSOL DESARROLLO EUROPA y otros programas de MUSOL (MUSOL EDUCA, Etc.) para la identificación de nuevas ideas de proyecto.</w:t>
      </w:r>
    </w:p>
    <w:p w:rsidR="007C318C" w:rsidRDefault="007C318C" w:rsidP="007C318C">
      <w:pPr>
        <w:numPr>
          <w:ilvl w:val="0"/>
          <w:numId w:val="23"/>
        </w:numPr>
        <w:jc w:val="both"/>
      </w:pPr>
      <w:r>
        <w:t>Monitorear las oportunidades de consultorías coherentes con el plan MUSOL CONSULTING.</w:t>
      </w:r>
    </w:p>
    <w:p w:rsidR="007C318C" w:rsidRPr="00027A95" w:rsidRDefault="007C318C" w:rsidP="007C318C">
      <w:pPr>
        <w:numPr>
          <w:ilvl w:val="0"/>
          <w:numId w:val="23"/>
        </w:numPr>
        <w:jc w:val="both"/>
      </w:pPr>
      <w:r>
        <w:t>Preparar ofertas técnicas y económicas coherentes con el plan MUSOL CONSULTING.</w:t>
      </w:r>
    </w:p>
    <w:p w:rsidR="007C318C" w:rsidRDefault="007C318C" w:rsidP="00027A95">
      <w:pPr>
        <w:jc w:val="both"/>
        <w:rPr>
          <w:b/>
        </w:rPr>
      </w:pPr>
    </w:p>
    <w:p w:rsidR="007C318C" w:rsidRDefault="007C318C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</w:t>
      </w:r>
      <w:r w:rsidR="001D22EA">
        <w:rPr>
          <w:b/>
        </w:rPr>
        <w:t xml:space="preserve"> y ejecución</w:t>
      </w:r>
      <w:r w:rsidRPr="00027A95">
        <w:rPr>
          <w:b/>
        </w:rPr>
        <w:t xml:space="preserve"> de </w:t>
      </w:r>
      <w:r w:rsidR="001D22EA">
        <w:rPr>
          <w:b/>
        </w:rPr>
        <w:t xml:space="preserve">los </w:t>
      </w:r>
      <w:r w:rsidRPr="00027A95">
        <w:rPr>
          <w:b/>
        </w:rPr>
        <w:t>proyectos: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 w:rsidR="00027A95">
        <w:t>yectos</w:t>
      </w:r>
      <w:r w:rsidR="00574027">
        <w:t xml:space="preserve"> en ejecución asignados</w:t>
      </w:r>
      <w:r w:rsidR="00027A95">
        <w:t>.</w:t>
      </w:r>
    </w:p>
    <w:p w:rsidR="009472B4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574027" w:rsidRDefault="00574027" w:rsidP="00574027">
      <w:pPr>
        <w:numPr>
          <w:ilvl w:val="0"/>
          <w:numId w:val="22"/>
        </w:numPr>
        <w:jc w:val="both"/>
      </w:pPr>
      <w:r w:rsidRPr="00027A95">
        <w:t>Implementar</w:t>
      </w:r>
      <w:r>
        <w:t xml:space="preserve"> las activid</w:t>
      </w:r>
      <w:r w:rsidR="00E72865">
        <w:t>ades de los proyectos europeos</w:t>
      </w:r>
      <w:r w:rsidRPr="00027A95">
        <w:t>, coordinando</w:t>
      </w:r>
      <w:r w:rsidR="00AE68CB">
        <w:t xml:space="preserve"> eventuales</w:t>
      </w:r>
      <w:r w:rsidRPr="00027A95">
        <w:t xml:space="preserve"> voluntarios</w:t>
      </w:r>
      <w:r>
        <w:t>/as</w:t>
      </w:r>
      <w:r w:rsidR="00AE68CB">
        <w:t>, personal</w:t>
      </w:r>
      <w:r>
        <w:t xml:space="preserve"> y </w:t>
      </w:r>
      <w:r w:rsidR="00E72865">
        <w:t>consultorías</w:t>
      </w:r>
      <w:r w:rsidRPr="00027A95">
        <w:t>.</w:t>
      </w:r>
    </w:p>
    <w:p w:rsidR="006B6E9A" w:rsidRDefault="006B6E9A" w:rsidP="006B6E9A">
      <w:pPr>
        <w:numPr>
          <w:ilvl w:val="0"/>
          <w:numId w:val="22"/>
        </w:numPr>
        <w:jc w:val="both"/>
      </w:pPr>
      <w:r>
        <w:t xml:space="preserve">Coordinar con los </w:t>
      </w:r>
      <w:proofErr w:type="spellStart"/>
      <w:r>
        <w:t>partners</w:t>
      </w:r>
      <w:proofErr w:type="spellEnd"/>
      <w:r>
        <w:t xml:space="preserve"> y </w:t>
      </w:r>
      <w:r w:rsidR="00D5607E">
        <w:t xml:space="preserve">los </w:t>
      </w:r>
      <w:proofErr w:type="spellStart"/>
      <w:r>
        <w:t>stakeholders</w:t>
      </w:r>
      <w:proofErr w:type="spellEnd"/>
      <w:r>
        <w:t xml:space="preserve"> en general de los proyectos</w:t>
      </w:r>
      <w:r w:rsidR="001D2DEA">
        <w:t xml:space="preserve"> y de MUSOL</w:t>
      </w:r>
      <w:r>
        <w:t xml:space="preserve"> para asegurar el cumplimiento de todas las actividades e indicadores.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</w:t>
      </w:r>
      <w:proofErr w:type="gramStart"/>
      <w:r w:rsidR="009472B4" w:rsidRPr="00027A95">
        <w:t>actualizados</w:t>
      </w:r>
      <w:proofErr w:type="gramEnd"/>
      <w:r w:rsidR="009472B4" w:rsidRPr="00027A95">
        <w:t xml:space="preserve">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 xml:space="preserve">antener una adecuada comunicación con las </w:t>
      </w:r>
      <w:r w:rsidR="00AA23F5">
        <w:t xml:space="preserve">organizaciones e instituciones colaboradoras (ayuntamiento, etc.) </w:t>
      </w:r>
      <w:r w:rsidR="009472B4" w:rsidRPr="00027A95">
        <w:t>y otro</w:t>
      </w:r>
      <w:r>
        <w:t xml:space="preserve">s </w:t>
      </w:r>
      <w:proofErr w:type="spellStart"/>
      <w:r>
        <w:t>stakeholders</w:t>
      </w:r>
      <w:proofErr w:type="spellEnd"/>
      <w:r>
        <w:t xml:space="preserve"> de los proyectos.</w:t>
      </w:r>
    </w:p>
    <w:p w:rsidR="009472B4" w:rsidRDefault="009472B4" w:rsidP="00027A95">
      <w:pPr>
        <w:numPr>
          <w:ilvl w:val="0"/>
          <w:numId w:val="22"/>
        </w:numPr>
        <w:jc w:val="both"/>
      </w:pPr>
      <w:r w:rsidRPr="00027A95">
        <w:t xml:space="preserve">Colaborar en la planificación estratégica de la organización, en particular en la planificación estratégica </w:t>
      </w:r>
      <w:r w:rsidR="0023688E">
        <w:t>de los ejes MUSOL DESARROLLO EUROPA</w:t>
      </w:r>
      <w:r w:rsidR="00854B60">
        <w:t xml:space="preserve"> y MUSOL CONSULTING</w:t>
      </w:r>
      <w:r w:rsidRPr="00027A95">
        <w:t>.</w:t>
      </w:r>
    </w:p>
    <w:p w:rsidR="00F9326E" w:rsidRPr="00027A95" w:rsidRDefault="00F9326E" w:rsidP="00027A95">
      <w:pPr>
        <w:numPr>
          <w:ilvl w:val="0"/>
          <w:numId w:val="22"/>
        </w:numPr>
        <w:jc w:val="both"/>
      </w:pPr>
      <w:r>
        <w:t>Organizar en colaboración con las otras áreas de MUSOL</w:t>
      </w:r>
      <w:r w:rsidR="0046121E">
        <w:t xml:space="preserve"> y con el resto del personal de la sub-área,</w:t>
      </w:r>
      <w:r>
        <w:t xml:space="preserve"> </w:t>
      </w:r>
      <w:r w:rsidR="002861BC">
        <w:t xml:space="preserve">la comunicación y </w:t>
      </w:r>
      <w:r w:rsidR="00F263BC">
        <w:t xml:space="preserve">la </w:t>
      </w:r>
      <w:r w:rsidR="002861BC">
        <w:t xml:space="preserve">difusión </w:t>
      </w:r>
      <w:r w:rsidR="00F65BFF">
        <w:t xml:space="preserve">de las actividades de los proyectos </w:t>
      </w:r>
      <w:r w:rsidR="00AD0CEC">
        <w:t>europeos</w:t>
      </w:r>
      <w:r w:rsidR="002861BC">
        <w:t xml:space="preserve">, de acuerdo a la </w:t>
      </w:r>
      <w:proofErr w:type="spellStart"/>
      <w:r w:rsidR="002861BC">
        <w:t>policy</w:t>
      </w:r>
      <w:proofErr w:type="spellEnd"/>
      <w:r w:rsidR="002861BC">
        <w:t xml:space="preserve"> de comunicación de MUSOL para asegurar el éxito de las actividades </w:t>
      </w:r>
      <w:r w:rsidR="003C4979">
        <w:t>y su difusión</w:t>
      </w:r>
      <w:r w:rsidR="00F65BFF">
        <w:t>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5F26C0" w:rsidRDefault="005F26C0" w:rsidP="00027A95">
      <w:pPr>
        <w:jc w:val="both"/>
        <w:rPr>
          <w:b/>
        </w:rPr>
      </w:pPr>
      <w:r>
        <w:rPr>
          <w:b/>
        </w:rPr>
        <w:t>Comunicación</w:t>
      </w:r>
      <w:r w:rsidR="00A11FC5">
        <w:rPr>
          <w:b/>
        </w:rPr>
        <w:t xml:space="preserve"> interna y externa</w:t>
      </w:r>
      <w:r>
        <w:rPr>
          <w:b/>
        </w:rPr>
        <w:t>:</w:t>
      </w:r>
    </w:p>
    <w:p w:rsidR="00A11FC5" w:rsidRDefault="00A11FC5" w:rsidP="00A11FC5">
      <w:pPr>
        <w:numPr>
          <w:ilvl w:val="0"/>
          <w:numId w:val="24"/>
        </w:numPr>
        <w:jc w:val="both"/>
      </w:pPr>
      <w:r w:rsidRPr="00027A95">
        <w:t>Sistematizar</w:t>
      </w:r>
      <w:r>
        <w:t xml:space="preserve"> y comunicar</w:t>
      </w:r>
      <w:r w:rsidRPr="00027A95">
        <w:t xml:space="preserve"> la información relevante relativa a los </w:t>
      </w:r>
      <w:r w:rsidR="00881316">
        <w:t xml:space="preserve">proyectos </w:t>
      </w:r>
      <w:r w:rsidRPr="00027A95">
        <w:t>con el objetivo de alimentar las estra</w:t>
      </w:r>
      <w:r>
        <w:t>tegias de comunicación de MUSOL.</w:t>
      </w:r>
    </w:p>
    <w:p w:rsidR="00A11FC5" w:rsidRPr="00027A95" w:rsidRDefault="00A11FC5" w:rsidP="00A11FC5">
      <w:pPr>
        <w:numPr>
          <w:ilvl w:val="0"/>
          <w:numId w:val="24"/>
        </w:numPr>
        <w:jc w:val="both"/>
      </w:pPr>
      <w:r>
        <w:t xml:space="preserve">Organizar y ejecutar acciones y/o campañas de </w:t>
      </w:r>
      <w:proofErr w:type="spellStart"/>
      <w:r>
        <w:t>fundraising</w:t>
      </w:r>
      <w:proofErr w:type="spellEnd"/>
      <w:r>
        <w:t>, sensibilización, comunicación o difusión, captación de socios, colaboradores o voluntarios, de acuerdo a las directrices de la dirección de MUSOL y a los intereses estratégicos de la fundación.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</w:t>
      </w:r>
      <w:r>
        <w:t>etc.).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lastRenderedPageBreak/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Licenciatura y postgrado/master</w:t>
      </w:r>
      <w:r w:rsidR="00027A95">
        <w:t>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1C0CB9" w:rsidRDefault="001C0CB9" w:rsidP="001C0CB9">
      <w:pPr>
        <w:pStyle w:val="Prrafodelista"/>
        <w:numPr>
          <w:ilvl w:val="0"/>
          <w:numId w:val="9"/>
        </w:numPr>
      </w:pPr>
      <w:r w:rsidRPr="001C0CB9">
        <w:rPr>
          <w:b/>
        </w:rPr>
        <w:t xml:space="preserve">Requerido </w:t>
      </w:r>
      <w:r w:rsidR="00FA1CB9">
        <w:rPr>
          <w:b/>
        </w:rPr>
        <w:t xml:space="preserve">castellano </w:t>
      </w:r>
      <w:r w:rsidRPr="001C0CB9">
        <w:rPr>
          <w:b/>
        </w:rPr>
        <w:t>e inglés a nivel alto</w:t>
      </w:r>
      <w:r w:rsidRPr="001C0CB9">
        <w:t xml:space="preserve">, suficiente para expresarse correctamente de forma oral y escrita y para elaborar textos complejos. </w:t>
      </w:r>
      <w:r w:rsidR="00A14826" w:rsidRPr="009617C6">
        <w:rPr>
          <w:b/>
        </w:rPr>
        <w:t>En fase de selección se realizarán prueba de idioma</w:t>
      </w:r>
      <w:r w:rsidR="008346F3" w:rsidRPr="009617C6">
        <w:rPr>
          <w:b/>
        </w:rPr>
        <w:t>.</w:t>
      </w:r>
    </w:p>
    <w:p w:rsidR="009472B4" w:rsidRDefault="00A904DE" w:rsidP="00027A95">
      <w:pPr>
        <w:numPr>
          <w:ilvl w:val="0"/>
          <w:numId w:val="9"/>
        </w:numPr>
        <w:jc w:val="both"/>
      </w:pPr>
      <w:r>
        <w:t>Se requiere c</w:t>
      </w:r>
      <w:r w:rsidR="009472B4" w:rsidRPr="00027A95">
        <w:t>apacidad de análisis de informació</w:t>
      </w:r>
      <w:r w:rsidR="00027A95">
        <w:t xml:space="preserve">n, sistematización y </w:t>
      </w:r>
      <w:r w:rsidR="00D60615">
        <w:t xml:space="preserve">excelentes habilidades de </w:t>
      </w:r>
      <w:r w:rsidR="00027A95">
        <w:t>redacción</w:t>
      </w:r>
      <w:r w:rsidR="00D60615">
        <w:t xml:space="preserve"> y capacidad de síntesis</w:t>
      </w:r>
      <w:r w:rsidR="00027A95">
        <w:t>.</w:t>
      </w:r>
    </w:p>
    <w:p w:rsidR="00FD414F" w:rsidRDefault="00C508A9" w:rsidP="00027A95">
      <w:pPr>
        <w:numPr>
          <w:ilvl w:val="0"/>
          <w:numId w:val="9"/>
        </w:numPr>
        <w:jc w:val="both"/>
      </w:pPr>
      <w:r>
        <w:t xml:space="preserve">Se </w:t>
      </w:r>
      <w:r w:rsidR="003D628B">
        <w:t>requiere</w:t>
      </w:r>
      <w:r>
        <w:t xml:space="preserve"> disponibilidad para viajar.</w:t>
      </w:r>
    </w:p>
    <w:p w:rsidR="00FA1CB9" w:rsidRDefault="00FA1CB9" w:rsidP="00027A95">
      <w:pPr>
        <w:numPr>
          <w:ilvl w:val="0"/>
          <w:numId w:val="9"/>
        </w:numPr>
        <w:jc w:val="both"/>
      </w:pPr>
      <w:r>
        <w:t>Se valorará el conocimiento de otros idiomas europeos.</w:t>
      </w:r>
    </w:p>
    <w:p w:rsidR="00FD414F" w:rsidRPr="00027A95" w:rsidRDefault="00FD414F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Experiencia:</w:t>
      </w:r>
    </w:p>
    <w:p w:rsidR="009021C1" w:rsidRPr="00675987" w:rsidRDefault="009472B4" w:rsidP="003F1F38">
      <w:pPr>
        <w:numPr>
          <w:ilvl w:val="0"/>
          <w:numId w:val="9"/>
        </w:numPr>
        <w:jc w:val="both"/>
        <w:rPr>
          <w:b/>
        </w:rPr>
      </w:pPr>
      <w:r w:rsidRPr="00675987">
        <w:rPr>
          <w:b/>
        </w:rPr>
        <w:t>Se requiere</w:t>
      </w:r>
      <w:r w:rsidR="00E24332" w:rsidRPr="00675987">
        <w:rPr>
          <w:b/>
        </w:rPr>
        <w:t xml:space="preserve"> </w:t>
      </w:r>
      <w:r w:rsidRPr="00675987">
        <w:rPr>
          <w:b/>
        </w:rPr>
        <w:t xml:space="preserve">experiencia </w:t>
      </w:r>
      <w:r w:rsidR="00330147" w:rsidRPr="00675987">
        <w:rPr>
          <w:b/>
        </w:rPr>
        <w:t xml:space="preserve">de al menos </w:t>
      </w:r>
      <w:r w:rsidR="00BC6755">
        <w:rPr>
          <w:b/>
        </w:rPr>
        <w:t>2</w:t>
      </w:r>
      <w:r w:rsidR="00330147" w:rsidRPr="00675987">
        <w:rPr>
          <w:b/>
        </w:rPr>
        <w:t xml:space="preserve"> año</w:t>
      </w:r>
      <w:r w:rsidR="00BC6755">
        <w:rPr>
          <w:b/>
        </w:rPr>
        <w:t>s</w:t>
      </w:r>
      <w:r w:rsidR="00330147" w:rsidRPr="00675987">
        <w:rPr>
          <w:b/>
        </w:rPr>
        <w:t xml:space="preserve"> </w:t>
      </w:r>
      <w:r w:rsidRPr="00675987">
        <w:rPr>
          <w:b/>
        </w:rPr>
        <w:t xml:space="preserve">en </w:t>
      </w:r>
      <w:r w:rsidR="001E6115">
        <w:rPr>
          <w:b/>
        </w:rPr>
        <w:t xml:space="preserve">formulación, </w:t>
      </w:r>
      <w:r w:rsidRPr="00675987">
        <w:rPr>
          <w:b/>
        </w:rPr>
        <w:t xml:space="preserve">gestión e implementación de proyectos </w:t>
      </w:r>
      <w:r w:rsidR="009021C1" w:rsidRPr="00675987">
        <w:rPr>
          <w:b/>
        </w:rPr>
        <w:t xml:space="preserve">financiados por </w:t>
      </w:r>
      <w:r w:rsidR="004772AF">
        <w:rPr>
          <w:b/>
        </w:rPr>
        <w:t xml:space="preserve">la </w:t>
      </w:r>
      <w:r w:rsidR="00EC25D9">
        <w:rPr>
          <w:b/>
        </w:rPr>
        <w:t xml:space="preserve">Unión Europea </w:t>
      </w:r>
      <w:r w:rsidR="003F1F38">
        <w:rPr>
          <w:b/>
        </w:rPr>
        <w:t>(</w:t>
      </w:r>
      <w:proofErr w:type="spellStart"/>
      <w:r w:rsidR="003F1F38" w:rsidRPr="003F1F38">
        <w:rPr>
          <w:b/>
        </w:rPr>
        <w:t>Interreg</w:t>
      </w:r>
      <w:proofErr w:type="spellEnd"/>
      <w:r w:rsidR="003F1F38" w:rsidRPr="003F1F38">
        <w:rPr>
          <w:b/>
        </w:rPr>
        <w:t>, Erasmus+</w:t>
      </w:r>
      <w:proofErr w:type="gramStart"/>
      <w:r w:rsidR="003F1F38">
        <w:rPr>
          <w:b/>
        </w:rPr>
        <w:t>,</w:t>
      </w:r>
      <w:r w:rsidR="00EC25D9">
        <w:rPr>
          <w:b/>
        </w:rPr>
        <w:t xml:space="preserve"> </w:t>
      </w:r>
      <w:r w:rsidR="003F1F38">
        <w:rPr>
          <w:b/>
        </w:rPr>
        <w:t xml:space="preserve"> </w:t>
      </w:r>
      <w:proofErr w:type="spellStart"/>
      <w:r w:rsidR="00EC25D9" w:rsidRPr="003F1F38">
        <w:rPr>
          <w:b/>
        </w:rPr>
        <w:t>Next</w:t>
      </w:r>
      <w:proofErr w:type="spellEnd"/>
      <w:proofErr w:type="gramEnd"/>
      <w:r w:rsidR="00EC25D9" w:rsidRPr="003F1F38">
        <w:rPr>
          <w:b/>
        </w:rPr>
        <w:t xml:space="preserve"> </w:t>
      </w:r>
      <w:proofErr w:type="spellStart"/>
      <w:r w:rsidR="00EC25D9" w:rsidRPr="003F1F38">
        <w:rPr>
          <w:b/>
        </w:rPr>
        <w:t>Generation</w:t>
      </w:r>
      <w:proofErr w:type="spellEnd"/>
      <w:r w:rsidR="00EC25D9" w:rsidRPr="003F1F38">
        <w:rPr>
          <w:b/>
        </w:rPr>
        <w:t xml:space="preserve">, </w:t>
      </w:r>
      <w:r w:rsidR="00EC25D9">
        <w:rPr>
          <w:b/>
        </w:rPr>
        <w:t xml:space="preserve">ESF, </w:t>
      </w:r>
      <w:r w:rsidR="003F1F38">
        <w:rPr>
          <w:b/>
        </w:rPr>
        <w:t>etc.</w:t>
      </w:r>
      <w:r w:rsidR="003F1F38" w:rsidRPr="003F1F38">
        <w:rPr>
          <w:b/>
        </w:rPr>
        <w:t>)</w:t>
      </w:r>
    </w:p>
    <w:p w:rsidR="00A06E57" w:rsidRDefault="00081F20" w:rsidP="001E6115">
      <w:pPr>
        <w:numPr>
          <w:ilvl w:val="0"/>
          <w:numId w:val="9"/>
        </w:numPr>
        <w:jc w:val="both"/>
      </w:pPr>
      <w:r>
        <w:t xml:space="preserve">Se valorará experiencia en </w:t>
      </w:r>
      <w:r w:rsidR="001E6115">
        <w:t>preparación y ejecución de ofertas para licitaciones de entidades españolas e internacionales.</w:t>
      </w:r>
    </w:p>
    <w:p w:rsidR="00C508A9" w:rsidRDefault="00C508A9" w:rsidP="00297535">
      <w:pPr>
        <w:numPr>
          <w:ilvl w:val="0"/>
          <w:numId w:val="9"/>
        </w:numPr>
        <w:jc w:val="both"/>
      </w:pPr>
      <w:r>
        <w:t xml:space="preserve">Se valorará experiencia en </w:t>
      </w:r>
      <w:r w:rsidR="001E6115">
        <w:t xml:space="preserve">los siguientes ámbitos sectoriales: fortalecimiento </w:t>
      </w:r>
      <w:r w:rsidR="00352E21">
        <w:t>de los entes locales</w:t>
      </w:r>
      <w:r w:rsidR="001E6115">
        <w:t>, transición ecológica, despoblación y reto demográfico,</w:t>
      </w:r>
      <w:r w:rsidR="00E34ACC">
        <w:t xml:space="preserve"> </w:t>
      </w:r>
      <w:r w:rsidR="0089695B">
        <w:t>innovación</w:t>
      </w:r>
      <w:r w:rsidR="00297535">
        <w:t>, localización de la agenda 2030, N</w:t>
      </w:r>
      <w:r w:rsidR="00297535" w:rsidRPr="00297535">
        <w:t xml:space="preserve">ew </w:t>
      </w:r>
      <w:proofErr w:type="spellStart"/>
      <w:r w:rsidR="00297535">
        <w:t>E</w:t>
      </w:r>
      <w:r w:rsidR="00297535" w:rsidRPr="00297535">
        <w:t>uropean</w:t>
      </w:r>
      <w:proofErr w:type="spellEnd"/>
      <w:r w:rsidR="00297535" w:rsidRPr="00297535">
        <w:t xml:space="preserve"> </w:t>
      </w:r>
      <w:r w:rsidR="00297535">
        <w:t>B</w:t>
      </w:r>
      <w:r w:rsidR="00297535" w:rsidRPr="00297535">
        <w:t>auhaus</w:t>
      </w:r>
      <w:r w:rsidR="007B5363">
        <w:t>.</w:t>
      </w:r>
    </w:p>
    <w:p w:rsidR="00C508A9" w:rsidRDefault="00C508A9" w:rsidP="00C508A9">
      <w:pPr>
        <w:ind w:left="360"/>
        <w:jc w:val="both"/>
      </w:pPr>
    </w:p>
    <w:p w:rsidR="00C508A9" w:rsidRDefault="00C508A9" w:rsidP="00C508A9">
      <w:pPr>
        <w:ind w:left="360"/>
        <w:jc w:val="both"/>
      </w:pPr>
    </w:p>
    <w:p w:rsidR="00C508A9" w:rsidRPr="00027A95" w:rsidRDefault="00C508A9" w:rsidP="00C508A9">
      <w:pPr>
        <w:ind w:left="360"/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="0010730E">
        <w:t>/la</w:t>
      </w:r>
      <w:r w:rsidRPr="00027A95">
        <w:t xml:space="preserve"> </w:t>
      </w:r>
      <w:r w:rsidR="00F15E34">
        <w:t>Técnico</w:t>
      </w:r>
      <w:r w:rsidR="0010730E">
        <w:t>/a</w:t>
      </w:r>
      <w:r w:rsidR="00F15E34">
        <w:t xml:space="preserve"> </w:t>
      </w:r>
      <w:r w:rsidRPr="00027A95">
        <w:t>se integr</w:t>
      </w:r>
      <w:r w:rsidR="00F15E34">
        <w:t xml:space="preserve">a en el </w:t>
      </w:r>
      <w:r w:rsidR="00C508A9">
        <w:t>Sub-</w:t>
      </w:r>
      <w:r w:rsidR="00F15E34">
        <w:t xml:space="preserve">Área </w:t>
      </w:r>
      <w:r w:rsidR="00264096">
        <w:t>MUSOL</w:t>
      </w:r>
      <w:r w:rsidR="00FF492C">
        <w:t xml:space="preserve"> Desarrollo</w:t>
      </w:r>
      <w:r w:rsidR="00264096">
        <w:t xml:space="preserve"> Europa</w:t>
      </w:r>
      <w:r w:rsidRPr="00027A95">
        <w:t>, con perfil de Técnico Senior. Responde ante</w:t>
      </w:r>
      <w:r w:rsidR="00FF492C">
        <w:t xml:space="preserve"> el/la Coordinador/a de la Sub-Área de MUSOL desarrollo Europa</w:t>
      </w:r>
      <w:r w:rsidRPr="00027A95">
        <w:t>. E</w:t>
      </w:r>
      <w:r w:rsidR="00F15E34">
        <w:t>s evaluado en conjunto por el Director/a Ejecutivo/a y por el</w:t>
      </w:r>
      <w:r w:rsidR="002157B2">
        <w:t>/la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</w:t>
      </w:r>
      <w:r w:rsidR="00C508A9">
        <w:t xml:space="preserve">el Director/a de Proyectos </w:t>
      </w:r>
      <w:r w:rsidRPr="00027A95">
        <w:t xml:space="preserve">y con </w:t>
      </w:r>
      <w:r w:rsidR="00C508A9">
        <w:t xml:space="preserve">las </w:t>
      </w:r>
      <w:r w:rsidRPr="00027A95">
        <w:t>otras áre</w:t>
      </w:r>
      <w:r w:rsidR="00C508A9">
        <w:t xml:space="preserve">as, en particular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C508A9">
        <w:t xml:space="preserve"> y con el Área de Proyectos.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4"/>
        <w:gridCol w:w="4320"/>
      </w:tblGrid>
      <w:tr w:rsidR="00FD414F" w:rsidRPr="00FD414F" w:rsidTr="0074757C">
        <w:trPr>
          <w:trHeight w:val="483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Competencias Institucionales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FD414F" w:rsidRPr="00FD414F" w:rsidTr="0074757C">
        <w:trPr>
          <w:trHeight w:val="444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Compromiso con la 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2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Comunicación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Excelencia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Innovación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Mejora continua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lastRenderedPageBreak/>
              <w:t>Planificación/Organización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2"/>
        <w:gridCol w:w="4332"/>
      </w:tblGrid>
      <w:tr w:rsidR="000A5237" w:rsidRPr="000A5237" w:rsidTr="008F3B8F">
        <w:trPr>
          <w:trHeight w:val="483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Competencias clave requeridas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0A5237" w:rsidRPr="000A5237" w:rsidTr="008F3B8F">
        <w:trPr>
          <w:trHeight w:val="412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Pensamiento creativo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Flexibilidad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Obtención y análisis de información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Solución de problemas</w:t>
            </w:r>
          </w:p>
        </w:tc>
        <w:tc>
          <w:tcPr>
            <w:tcW w:w="4425" w:type="dxa"/>
            <w:vAlign w:val="center"/>
          </w:tcPr>
          <w:p w:rsidR="000A5237" w:rsidRPr="000A5237" w:rsidRDefault="006D7BFF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0A5237" w:rsidRPr="007139F3" w:rsidRDefault="000A5237" w:rsidP="000A5237">
      <w:pPr>
        <w:jc w:val="both"/>
      </w:pPr>
    </w:p>
    <w:p w:rsidR="000A5237" w:rsidRDefault="00F15E34" w:rsidP="000A5237">
      <w:pPr>
        <w:jc w:val="both"/>
      </w:pPr>
      <w:r>
        <w:t>Ver el diccionario de c</w:t>
      </w:r>
      <w:r w:rsidR="000A5237" w:rsidRPr="007139F3">
        <w:t>ompetencias para mayor información.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027A95">
        <w:t xml:space="preserve"> </w:t>
      </w:r>
      <w:r w:rsidR="009508CB">
        <w:t>completa</w:t>
      </w:r>
      <w:r w:rsidR="00027A95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Lugar de trabajo: </w:t>
      </w:r>
      <w:proofErr w:type="spellStart"/>
      <w:r w:rsidR="00807C5A">
        <w:t>València</w:t>
      </w:r>
      <w:proofErr w:type="spellEnd"/>
      <w:r w:rsidR="00807C5A">
        <w:t xml:space="preserve"> (España), c</w:t>
      </w:r>
      <w:r w:rsidR="00F420A1">
        <w:t>on</w:t>
      </w:r>
      <w:r w:rsidR="00774B28">
        <w:t xml:space="preserve"> </w:t>
      </w:r>
      <w:r w:rsidR="00F420A1">
        <w:t xml:space="preserve">desplazamientos </w:t>
      </w:r>
      <w:r w:rsidR="004A66A3">
        <w:t>nacionales e internacionales</w:t>
      </w:r>
      <w:r w:rsidR="00F420A1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6F125A">
        <w:t xml:space="preserve">según baremos </w:t>
      </w:r>
      <w:r w:rsidR="00703631">
        <w:t>de la organización</w:t>
      </w:r>
      <w:r w:rsidR="00027A95">
        <w:t>.</w:t>
      </w:r>
    </w:p>
    <w:p w:rsidR="009472B4" w:rsidRPr="00027A95" w:rsidRDefault="009472B4" w:rsidP="00D16F31">
      <w:pPr>
        <w:ind w:left="720"/>
        <w:jc w:val="both"/>
      </w:pP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6"/>
    <w:rsid w:val="00002361"/>
    <w:rsid w:val="00012BCF"/>
    <w:rsid w:val="00027A95"/>
    <w:rsid w:val="0006722C"/>
    <w:rsid w:val="00067F37"/>
    <w:rsid w:val="00081F20"/>
    <w:rsid w:val="000A47AA"/>
    <w:rsid w:val="000A5237"/>
    <w:rsid w:val="000A5B58"/>
    <w:rsid w:val="000A5BF5"/>
    <w:rsid w:val="000D05D4"/>
    <w:rsid w:val="001037D9"/>
    <w:rsid w:val="0010730E"/>
    <w:rsid w:val="001238B8"/>
    <w:rsid w:val="001263D5"/>
    <w:rsid w:val="0017344C"/>
    <w:rsid w:val="001C0CB9"/>
    <w:rsid w:val="001C1EF4"/>
    <w:rsid w:val="001D22EA"/>
    <w:rsid w:val="001D2DEA"/>
    <w:rsid w:val="001E6115"/>
    <w:rsid w:val="00205468"/>
    <w:rsid w:val="002157B2"/>
    <w:rsid w:val="00220884"/>
    <w:rsid w:val="00225DC8"/>
    <w:rsid w:val="0023688E"/>
    <w:rsid w:val="00241CDD"/>
    <w:rsid w:val="00246866"/>
    <w:rsid w:val="00247402"/>
    <w:rsid w:val="00264096"/>
    <w:rsid w:val="00274051"/>
    <w:rsid w:val="00285169"/>
    <w:rsid w:val="002861BC"/>
    <w:rsid w:val="00297535"/>
    <w:rsid w:val="002B24BA"/>
    <w:rsid w:val="002D1D9E"/>
    <w:rsid w:val="002F20F4"/>
    <w:rsid w:val="00301934"/>
    <w:rsid w:val="00302747"/>
    <w:rsid w:val="00323E4F"/>
    <w:rsid w:val="00330147"/>
    <w:rsid w:val="00352E21"/>
    <w:rsid w:val="003610BC"/>
    <w:rsid w:val="00387F00"/>
    <w:rsid w:val="003A68D7"/>
    <w:rsid w:val="003B593F"/>
    <w:rsid w:val="003B79D9"/>
    <w:rsid w:val="003C1736"/>
    <w:rsid w:val="003C4979"/>
    <w:rsid w:val="003D628B"/>
    <w:rsid w:val="003F1F38"/>
    <w:rsid w:val="0040172F"/>
    <w:rsid w:val="00432E9C"/>
    <w:rsid w:val="00452AEB"/>
    <w:rsid w:val="0046121E"/>
    <w:rsid w:val="004772AF"/>
    <w:rsid w:val="00483697"/>
    <w:rsid w:val="004A66A3"/>
    <w:rsid w:val="004C4460"/>
    <w:rsid w:val="004E5607"/>
    <w:rsid w:val="005018E4"/>
    <w:rsid w:val="00506E8E"/>
    <w:rsid w:val="005107A1"/>
    <w:rsid w:val="005144DD"/>
    <w:rsid w:val="00514E53"/>
    <w:rsid w:val="00516E69"/>
    <w:rsid w:val="00520329"/>
    <w:rsid w:val="0053445D"/>
    <w:rsid w:val="005373EE"/>
    <w:rsid w:val="00574027"/>
    <w:rsid w:val="005D2CEA"/>
    <w:rsid w:val="005F26C0"/>
    <w:rsid w:val="005F395E"/>
    <w:rsid w:val="00606DB8"/>
    <w:rsid w:val="00613228"/>
    <w:rsid w:val="00617DA5"/>
    <w:rsid w:val="00672E00"/>
    <w:rsid w:val="00672FF3"/>
    <w:rsid w:val="00675987"/>
    <w:rsid w:val="00686282"/>
    <w:rsid w:val="00686CF1"/>
    <w:rsid w:val="006A6C3D"/>
    <w:rsid w:val="006B6E9A"/>
    <w:rsid w:val="006D7BFF"/>
    <w:rsid w:val="006F125A"/>
    <w:rsid w:val="00703631"/>
    <w:rsid w:val="00717126"/>
    <w:rsid w:val="0074641B"/>
    <w:rsid w:val="00774B28"/>
    <w:rsid w:val="00781EF0"/>
    <w:rsid w:val="007949A6"/>
    <w:rsid w:val="007967D8"/>
    <w:rsid w:val="007B5363"/>
    <w:rsid w:val="007C318C"/>
    <w:rsid w:val="007E30BE"/>
    <w:rsid w:val="007F3815"/>
    <w:rsid w:val="007F38A5"/>
    <w:rsid w:val="008054F3"/>
    <w:rsid w:val="00807C5A"/>
    <w:rsid w:val="00832663"/>
    <w:rsid w:val="008346F3"/>
    <w:rsid w:val="00854B60"/>
    <w:rsid w:val="00860802"/>
    <w:rsid w:val="00875628"/>
    <w:rsid w:val="00881316"/>
    <w:rsid w:val="00882652"/>
    <w:rsid w:val="0089695B"/>
    <w:rsid w:val="008E43F2"/>
    <w:rsid w:val="008E6985"/>
    <w:rsid w:val="008F5964"/>
    <w:rsid w:val="009021C1"/>
    <w:rsid w:val="009472B4"/>
    <w:rsid w:val="009508CB"/>
    <w:rsid w:val="00957AAC"/>
    <w:rsid w:val="009617C6"/>
    <w:rsid w:val="00972F9C"/>
    <w:rsid w:val="00973D09"/>
    <w:rsid w:val="0099175B"/>
    <w:rsid w:val="00991EC9"/>
    <w:rsid w:val="009A79E3"/>
    <w:rsid w:val="009C57F7"/>
    <w:rsid w:val="009D35B3"/>
    <w:rsid w:val="009F4E58"/>
    <w:rsid w:val="00A06E57"/>
    <w:rsid w:val="00A11FC5"/>
    <w:rsid w:val="00A14826"/>
    <w:rsid w:val="00A2696D"/>
    <w:rsid w:val="00A56405"/>
    <w:rsid w:val="00A56769"/>
    <w:rsid w:val="00A904DE"/>
    <w:rsid w:val="00A9094A"/>
    <w:rsid w:val="00AA23F5"/>
    <w:rsid w:val="00AA53A5"/>
    <w:rsid w:val="00AB3529"/>
    <w:rsid w:val="00AC70E6"/>
    <w:rsid w:val="00AD0CEC"/>
    <w:rsid w:val="00AD6C90"/>
    <w:rsid w:val="00AE68CB"/>
    <w:rsid w:val="00B25ADB"/>
    <w:rsid w:val="00B606C0"/>
    <w:rsid w:val="00B759B6"/>
    <w:rsid w:val="00B902E1"/>
    <w:rsid w:val="00BB7824"/>
    <w:rsid w:val="00BB7D17"/>
    <w:rsid w:val="00BC6755"/>
    <w:rsid w:val="00BD041A"/>
    <w:rsid w:val="00BD2F3A"/>
    <w:rsid w:val="00BF2986"/>
    <w:rsid w:val="00C1752F"/>
    <w:rsid w:val="00C20EAB"/>
    <w:rsid w:val="00C212E3"/>
    <w:rsid w:val="00C35C99"/>
    <w:rsid w:val="00C4643B"/>
    <w:rsid w:val="00C508A9"/>
    <w:rsid w:val="00C94EC8"/>
    <w:rsid w:val="00CC37CD"/>
    <w:rsid w:val="00CC6ADC"/>
    <w:rsid w:val="00CD0EDC"/>
    <w:rsid w:val="00CD5016"/>
    <w:rsid w:val="00D01784"/>
    <w:rsid w:val="00D05805"/>
    <w:rsid w:val="00D16F31"/>
    <w:rsid w:val="00D5607E"/>
    <w:rsid w:val="00D60615"/>
    <w:rsid w:val="00D64ED1"/>
    <w:rsid w:val="00D81CFC"/>
    <w:rsid w:val="00D84650"/>
    <w:rsid w:val="00DC15CC"/>
    <w:rsid w:val="00DC6F86"/>
    <w:rsid w:val="00DD68B4"/>
    <w:rsid w:val="00E24332"/>
    <w:rsid w:val="00E34ACC"/>
    <w:rsid w:val="00E5733F"/>
    <w:rsid w:val="00E6178B"/>
    <w:rsid w:val="00E72865"/>
    <w:rsid w:val="00E7526A"/>
    <w:rsid w:val="00E919A8"/>
    <w:rsid w:val="00E96D88"/>
    <w:rsid w:val="00EC25D9"/>
    <w:rsid w:val="00F01CD2"/>
    <w:rsid w:val="00F15E34"/>
    <w:rsid w:val="00F263BC"/>
    <w:rsid w:val="00F420A1"/>
    <w:rsid w:val="00F50E16"/>
    <w:rsid w:val="00F65BFF"/>
    <w:rsid w:val="00F9326E"/>
    <w:rsid w:val="00F949B7"/>
    <w:rsid w:val="00FA1CB9"/>
    <w:rsid w:val="00FA71A2"/>
    <w:rsid w:val="00FC1B91"/>
    <w:rsid w:val="00FD414F"/>
    <w:rsid w:val="00FE698B"/>
    <w:rsid w:val="00FE7A0D"/>
    <w:rsid w:val="00FF0D2F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E77A7"/>
  <w15:docId w15:val="{685444A9-B472-4534-BE76-9B3B5A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78</cp:revision>
  <cp:lastPrinted>2009-06-11T17:26:00Z</cp:lastPrinted>
  <dcterms:created xsi:type="dcterms:W3CDTF">2022-03-24T11:09:00Z</dcterms:created>
  <dcterms:modified xsi:type="dcterms:W3CDTF">2022-05-31T07:43:00Z</dcterms:modified>
</cp:coreProperties>
</file>